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E" w:rsidRDefault="00090AFE" w:rsidP="00090AFE">
      <w:pPr>
        <w:spacing w:after="0" w:line="240" w:lineRule="auto"/>
      </w:pPr>
      <w:r>
        <w:t>Temeljem članka 22. stavka 9. Zakona o odgoju i obrazovanju u osnovnoj i srednjoj školi (</w:t>
      </w:r>
      <w:r w:rsidR="00C15F17">
        <w:t>„</w:t>
      </w:r>
      <w:r>
        <w:t>Narodne novine</w:t>
      </w:r>
      <w:r w:rsidR="00C15F17">
        <w:t>“, broj  87/08.</w:t>
      </w:r>
      <w:r>
        <w:t xml:space="preserve"> 86/09</w:t>
      </w:r>
      <w:r w:rsidR="00C15F17">
        <w:t>.</w:t>
      </w:r>
      <w:r>
        <w:t xml:space="preserve"> 92/10</w:t>
      </w:r>
      <w:r w:rsidR="00C15F17">
        <w:t>.</w:t>
      </w:r>
      <w:r>
        <w:t xml:space="preserve"> 105/10- ispravak, 90/11, 16/12, 86/12</w:t>
      </w:r>
      <w:r w:rsidR="00C15F17">
        <w:t>.</w:t>
      </w:r>
      <w:r>
        <w:t xml:space="preserve"> </w:t>
      </w:r>
      <w:r w:rsidR="00D55966">
        <w:t>94/13</w:t>
      </w:r>
      <w:r w:rsidR="00C15F17">
        <w:t>.</w:t>
      </w:r>
      <w:r w:rsidR="00D55966">
        <w:t xml:space="preserve"> 152/14</w:t>
      </w:r>
      <w:r w:rsidR="00C15F17">
        <w:t>.</w:t>
      </w:r>
      <w:r>
        <w:t xml:space="preserve"> 7/17</w:t>
      </w:r>
      <w:r w:rsidR="00C15F17">
        <w:t>.</w:t>
      </w:r>
      <w:r w:rsidR="00D55966">
        <w:t xml:space="preserve"> </w:t>
      </w:r>
      <w:r w:rsidR="00D231D6">
        <w:t>68/18</w:t>
      </w:r>
      <w:r w:rsidR="00C15F17">
        <w:t>.</w:t>
      </w:r>
      <w:r w:rsidR="00715116" w:rsidRPr="00715116">
        <w:t xml:space="preserve"> </w:t>
      </w:r>
      <w:r w:rsidR="00715116">
        <w:t>i 98/19.</w:t>
      </w:r>
      <w:r w:rsidR="00D231D6">
        <w:t xml:space="preserve">) </w:t>
      </w:r>
      <w:r>
        <w:t xml:space="preserve">i točke </w:t>
      </w:r>
      <w:r w:rsidR="00D55966">
        <w:t>XV</w:t>
      </w:r>
      <w:r>
        <w:t>. Odluke o upisu učenika u I. razred srednje škole u školskoj godini 20</w:t>
      </w:r>
      <w:r w:rsidR="00D55966">
        <w:t>20</w:t>
      </w:r>
      <w:r>
        <w:t>./20</w:t>
      </w:r>
      <w:r w:rsidR="00D55966">
        <w:t>21</w:t>
      </w:r>
      <w:r>
        <w:t>. (</w:t>
      </w:r>
      <w:r w:rsidR="00C15F17">
        <w:t>„</w:t>
      </w:r>
      <w:r>
        <w:t>Narodne novine</w:t>
      </w:r>
      <w:r w:rsidR="00C15F17">
        <w:t>“</w:t>
      </w:r>
      <w:r>
        <w:t xml:space="preserve"> broj </w:t>
      </w:r>
      <w:r w:rsidR="00D55966">
        <w:t>62/20</w:t>
      </w:r>
      <w:r w:rsidR="008A2DAE">
        <w:t>.</w:t>
      </w:r>
      <w:r>
        <w:t xml:space="preserve">) Ekonomska škola </w:t>
      </w:r>
      <w:r w:rsidR="00D55966">
        <w:t>„</w:t>
      </w:r>
      <w:r>
        <w:t>Braća Radić</w:t>
      </w:r>
      <w:r w:rsidR="00D55966">
        <w:t>“</w:t>
      </w:r>
      <w:r>
        <w:t xml:space="preserve">, Đakovo raspisuje i objavljuje  </w:t>
      </w:r>
    </w:p>
    <w:p w:rsidR="00D55966" w:rsidRDefault="00D55966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84E" w:rsidRDefault="0065684E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AFE" w:rsidRDefault="00090AFE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A T J  E  Č  A  J</w:t>
      </w:r>
    </w:p>
    <w:p w:rsidR="00090AFE" w:rsidRPr="00090AFE" w:rsidRDefault="00DF7B1B" w:rsidP="00090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z</w:t>
      </w:r>
      <w:r w:rsidR="00D55966">
        <w:rPr>
          <w:b/>
        </w:rPr>
        <w:t xml:space="preserve">a upis učenika u I. razred srednje škole u školskog godini </w:t>
      </w:r>
      <w:r w:rsidR="00090AFE" w:rsidRPr="00090AFE">
        <w:rPr>
          <w:b/>
        </w:rPr>
        <w:t xml:space="preserve"> 20</w:t>
      </w:r>
      <w:r w:rsidR="00D55966">
        <w:rPr>
          <w:b/>
        </w:rPr>
        <w:t>20</w:t>
      </w:r>
      <w:r w:rsidR="00090AFE" w:rsidRPr="00090AFE">
        <w:rPr>
          <w:b/>
        </w:rPr>
        <w:t>./20</w:t>
      </w:r>
      <w:r w:rsidR="00D55966">
        <w:rPr>
          <w:b/>
        </w:rPr>
        <w:t>21</w:t>
      </w:r>
      <w:r w:rsidR="00090AFE" w:rsidRPr="00090AFE">
        <w:rPr>
          <w:b/>
        </w:rPr>
        <w:t>.</w:t>
      </w: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84E" w:rsidRDefault="0065684E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84E" w:rsidRDefault="0065684E" w:rsidP="00090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Ekonomsk</w:t>
      </w:r>
      <w:r w:rsidR="0020628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20628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96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Braća Radić</w:t>
      </w:r>
      <w:r w:rsidR="00D55966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Đakovo upisivat će učenike u I. razred kako slijedi:</w:t>
      </w:r>
    </w:p>
    <w:p w:rsidR="00090AFE" w:rsidRDefault="00090AFE" w:rsidP="0009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9030" w:type="dxa"/>
        <w:tblInd w:w="0" w:type="dxa"/>
        <w:tblLook w:val="04A0" w:firstRow="1" w:lastRow="0" w:firstColumn="1" w:lastColumn="0" w:noHBand="0" w:noVBand="1"/>
      </w:tblPr>
      <w:tblGrid>
        <w:gridCol w:w="2689"/>
        <w:gridCol w:w="1349"/>
        <w:gridCol w:w="1812"/>
        <w:gridCol w:w="1813"/>
        <w:gridCol w:w="1367"/>
      </w:tblGrid>
      <w:tr w:rsidR="00715116" w:rsidRPr="00715116" w:rsidTr="0035620D">
        <w:tc>
          <w:tcPr>
            <w:tcW w:w="2689" w:type="dxa"/>
            <w:shd w:val="clear" w:color="auto" w:fill="EEECE1" w:themeFill="background2"/>
            <w:vAlign w:val="center"/>
          </w:tcPr>
          <w:p w:rsidR="00715116" w:rsidRPr="00715116" w:rsidRDefault="00715116" w:rsidP="00715116">
            <w:pPr>
              <w:autoSpaceDE w:val="0"/>
              <w:autoSpaceDN w:val="0"/>
              <w:adjustRightInd w:val="0"/>
              <w:spacing w:after="5" w:line="271" w:lineRule="auto"/>
              <w:ind w:left="82" w:hanging="10"/>
              <w:jc w:val="center"/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Naziv obrazovnog programa</w:t>
            </w:r>
          </w:p>
        </w:tc>
        <w:tc>
          <w:tcPr>
            <w:tcW w:w="1349" w:type="dxa"/>
            <w:shd w:val="clear" w:color="auto" w:fill="EEECE1" w:themeFill="background2"/>
            <w:vAlign w:val="center"/>
          </w:tcPr>
          <w:p w:rsidR="00715116" w:rsidRPr="00715116" w:rsidRDefault="00715116" w:rsidP="00715116">
            <w:pPr>
              <w:autoSpaceDE w:val="0"/>
              <w:autoSpaceDN w:val="0"/>
              <w:adjustRightInd w:val="0"/>
              <w:ind w:left="82" w:hanging="10"/>
              <w:jc w:val="center"/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Šifra</w:t>
            </w:r>
          </w:p>
          <w:p w:rsidR="00715116" w:rsidRPr="00715116" w:rsidRDefault="00715116" w:rsidP="00715116">
            <w:pPr>
              <w:autoSpaceDE w:val="0"/>
              <w:autoSpaceDN w:val="0"/>
              <w:adjustRightInd w:val="0"/>
              <w:ind w:left="82" w:hanging="10"/>
              <w:jc w:val="center"/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programa</w:t>
            </w:r>
          </w:p>
        </w:tc>
        <w:tc>
          <w:tcPr>
            <w:tcW w:w="1812" w:type="dxa"/>
            <w:shd w:val="clear" w:color="auto" w:fill="EEECE1" w:themeFill="background2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Trajanje</w:t>
            </w:r>
          </w:p>
        </w:tc>
        <w:tc>
          <w:tcPr>
            <w:tcW w:w="1813" w:type="dxa"/>
            <w:shd w:val="clear" w:color="auto" w:fill="EEECE1" w:themeFill="background2"/>
            <w:vAlign w:val="center"/>
          </w:tcPr>
          <w:p w:rsidR="00715116" w:rsidRPr="00715116" w:rsidRDefault="00715116" w:rsidP="00715116">
            <w:pPr>
              <w:autoSpaceDE w:val="0"/>
              <w:autoSpaceDN w:val="0"/>
              <w:adjustRightInd w:val="0"/>
              <w:ind w:left="82" w:hanging="10"/>
              <w:jc w:val="center"/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Razredni</w:t>
            </w:r>
          </w:p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odjeli</w:t>
            </w:r>
          </w:p>
        </w:tc>
        <w:tc>
          <w:tcPr>
            <w:tcW w:w="1367" w:type="dxa"/>
            <w:shd w:val="clear" w:color="auto" w:fill="EEECE1" w:themeFill="background2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/>
                <w:bCs/>
                <w:color w:val="000000"/>
                <w:sz w:val="23"/>
                <w:szCs w:val="23"/>
                <w:lang w:eastAsia="hr-HR"/>
              </w:rPr>
              <w:t>Učenici</w:t>
            </w:r>
          </w:p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5116" w:rsidRPr="00715116" w:rsidTr="0035620D">
        <w:trPr>
          <w:trHeight w:val="397"/>
        </w:trPr>
        <w:tc>
          <w:tcPr>
            <w:tcW w:w="2689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b/>
                <w:color w:val="000000"/>
                <w:sz w:val="23"/>
                <w:szCs w:val="23"/>
                <w:lang w:eastAsia="hr-HR"/>
              </w:rPr>
              <w:t>Ekonomist</w:t>
            </w:r>
          </w:p>
        </w:tc>
        <w:tc>
          <w:tcPr>
            <w:tcW w:w="1349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060724</w:t>
            </w:r>
          </w:p>
        </w:tc>
        <w:tc>
          <w:tcPr>
            <w:tcW w:w="1812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4 g.</w:t>
            </w:r>
          </w:p>
        </w:tc>
        <w:tc>
          <w:tcPr>
            <w:tcW w:w="1813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2,00</w:t>
            </w:r>
          </w:p>
        </w:tc>
        <w:tc>
          <w:tcPr>
            <w:tcW w:w="1367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</w:tr>
      <w:tr w:rsidR="00715116" w:rsidRPr="00715116" w:rsidTr="0035620D">
        <w:trPr>
          <w:trHeight w:val="397"/>
        </w:trPr>
        <w:tc>
          <w:tcPr>
            <w:tcW w:w="2689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b/>
                <w:color w:val="000000"/>
                <w:sz w:val="23"/>
                <w:szCs w:val="23"/>
                <w:lang w:eastAsia="hr-HR"/>
              </w:rPr>
              <w:t>Komercijalist</w:t>
            </w:r>
          </w:p>
        </w:tc>
        <w:tc>
          <w:tcPr>
            <w:tcW w:w="1349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060304</w:t>
            </w:r>
          </w:p>
        </w:tc>
        <w:tc>
          <w:tcPr>
            <w:tcW w:w="1812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4 g.</w:t>
            </w:r>
          </w:p>
        </w:tc>
        <w:tc>
          <w:tcPr>
            <w:tcW w:w="1813" w:type="dxa"/>
            <w:vAlign w:val="center"/>
          </w:tcPr>
          <w:p w:rsidR="00715116" w:rsidRPr="00715116" w:rsidRDefault="00E0325E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1</w:t>
            </w:r>
            <w:r w:rsidR="00715116"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,00</w:t>
            </w:r>
          </w:p>
        </w:tc>
        <w:tc>
          <w:tcPr>
            <w:tcW w:w="1367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  <w:tr w:rsidR="00603527" w:rsidRPr="00715116" w:rsidTr="0035620D">
        <w:trPr>
          <w:trHeight w:val="397"/>
        </w:trPr>
        <w:tc>
          <w:tcPr>
            <w:tcW w:w="2689" w:type="dxa"/>
            <w:vAlign w:val="center"/>
          </w:tcPr>
          <w:p w:rsidR="00603527" w:rsidRPr="00715116" w:rsidRDefault="00603527" w:rsidP="00715116">
            <w:pPr>
              <w:spacing w:after="5" w:line="271" w:lineRule="auto"/>
              <w:ind w:left="82" w:hanging="10"/>
              <w:rPr>
                <w:rFonts w:ascii="ArialRegular" w:eastAsia="Times New Roman" w:hAnsi="ArialRegular" w:cs="ArialRegular"/>
                <w:b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Regular" w:eastAsia="Times New Roman" w:hAnsi="ArialRegular" w:cs="ArialRegular"/>
                <w:b/>
                <w:color w:val="000000"/>
                <w:sz w:val="23"/>
                <w:szCs w:val="23"/>
                <w:lang w:eastAsia="hr-HR"/>
              </w:rPr>
              <w:t>Upravni referent</w:t>
            </w:r>
          </w:p>
        </w:tc>
        <w:tc>
          <w:tcPr>
            <w:tcW w:w="1349" w:type="dxa"/>
            <w:vAlign w:val="center"/>
          </w:tcPr>
          <w:p w:rsidR="00603527" w:rsidRPr="00715116" w:rsidRDefault="00603527" w:rsidP="00715116">
            <w:pPr>
              <w:spacing w:after="5" w:line="271" w:lineRule="auto"/>
              <w:ind w:left="82" w:hanging="10"/>
              <w:jc w:val="center"/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060404</w:t>
            </w:r>
          </w:p>
        </w:tc>
        <w:tc>
          <w:tcPr>
            <w:tcW w:w="1812" w:type="dxa"/>
            <w:vAlign w:val="center"/>
          </w:tcPr>
          <w:p w:rsidR="00603527" w:rsidRPr="00715116" w:rsidRDefault="00603527" w:rsidP="00715116">
            <w:pPr>
              <w:spacing w:after="5" w:line="271" w:lineRule="auto"/>
              <w:ind w:left="82" w:hanging="10"/>
              <w:jc w:val="center"/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4 g.</w:t>
            </w:r>
          </w:p>
        </w:tc>
        <w:tc>
          <w:tcPr>
            <w:tcW w:w="1813" w:type="dxa"/>
            <w:vAlign w:val="center"/>
          </w:tcPr>
          <w:p w:rsidR="00603527" w:rsidRPr="00715116" w:rsidRDefault="00603527" w:rsidP="00715116">
            <w:pPr>
              <w:spacing w:after="5" w:line="271" w:lineRule="auto"/>
              <w:ind w:left="82" w:hanging="10"/>
              <w:jc w:val="center"/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2,00</w:t>
            </w:r>
          </w:p>
        </w:tc>
        <w:tc>
          <w:tcPr>
            <w:tcW w:w="1367" w:type="dxa"/>
            <w:vAlign w:val="center"/>
          </w:tcPr>
          <w:p w:rsidR="00603527" w:rsidRPr="00715116" w:rsidRDefault="00603527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</w:t>
            </w:r>
          </w:p>
        </w:tc>
      </w:tr>
      <w:tr w:rsidR="00715116" w:rsidRPr="00715116" w:rsidTr="0035620D">
        <w:trPr>
          <w:trHeight w:val="397"/>
        </w:trPr>
        <w:tc>
          <w:tcPr>
            <w:tcW w:w="2689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b/>
                <w:color w:val="000000"/>
                <w:sz w:val="23"/>
                <w:szCs w:val="23"/>
                <w:lang w:eastAsia="hr-HR"/>
              </w:rPr>
              <w:t>Prodavač</w:t>
            </w:r>
            <w:r w:rsidR="000773F5">
              <w:rPr>
                <w:rFonts w:ascii="ArialRegular" w:eastAsia="Times New Roman" w:hAnsi="ArialRegular" w:cs="ArialRegular"/>
                <w:b/>
                <w:color w:val="000000"/>
                <w:sz w:val="23"/>
                <w:szCs w:val="23"/>
                <w:lang w:eastAsia="hr-HR"/>
              </w:rPr>
              <w:t>-dualni model obrazovanja</w:t>
            </w:r>
          </w:p>
        </w:tc>
        <w:tc>
          <w:tcPr>
            <w:tcW w:w="1349" w:type="dxa"/>
            <w:vAlign w:val="center"/>
          </w:tcPr>
          <w:p w:rsidR="00715116" w:rsidRPr="00715116" w:rsidRDefault="000773F5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440933</w:t>
            </w:r>
          </w:p>
        </w:tc>
        <w:tc>
          <w:tcPr>
            <w:tcW w:w="1812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3 g.</w:t>
            </w:r>
          </w:p>
        </w:tc>
        <w:tc>
          <w:tcPr>
            <w:tcW w:w="1813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Regular" w:eastAsia="Times New Roman" w:hAnsi="ArialRegular" w:cs="ArialRegular"/>
                <w:color w:val="000000"/>
                <w:sz w:val="23"/>
                <w:szCs w:val="23"/>
                <w:lang w:eastAsia="hr-HR"/>
              </w:rPr>
              <w:t>1,00</w:t>
            </w:r>
          </w:p>
        </w:tc>
        <w:tc>
          <w:tcPr>
            <w:tcW w:w="1367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</w:tr>
      <w:tr w:rsidR="00715116" w:rsidRPr="00715116" w:rsidTr="0035620D">
        <w:tc>
          <w:tcPr>
            <w:tcW w:w="5850" w:type="dxa"/>
            <w:gridSpan w:val="3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Cs/>
                <w:color w:val="000000"/>
                <w:sz w:val="20"/>
                <w:szCs w:val="20"/>
                <w:lang w:eastAsia="hr-HR"/>
              </w:rPr>
              <w:t>Ukupno Ekonomska škola Braća Radić Đakovo (14-022-501)</w:t>
            </w:r>
          </w:p>
        </w:tc>
        <w:tc>
          <w:tcPr>
            <w:tcW w:w="1813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6,00</w:t>
            </w:r>
          </w:p>
        </w:tc>
        <w:tc>
          <w:tcPr>
            <w:tcW w:w="1367" w:type="dxa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Nastavni predmeti značajni za izbor obrazovnog programa</w:t>
      </w:r>
    </w:p>
    <w:p w:rsidR="00715116" w:rsidRPr="00715116" w:rsidRDefault="00715116" w:rsidP="00715116">
      <w:pPr>
        <w:autoSpaceDE w:val="0"/>
        <w:autoSpaceDN w:val="0"/>
        <w:adjustRightInd w:val="0"/>
        <w:spacing w:after="0" w:line="240" w:lineRule="auto"/>
        <w:ind w:left="82" w:hanging="10"/>
        <w:jc w:val="both"/>
        <w:rPr>
          <w:rFonts w:ascii="ArialBold" w:eastAsia="Times New Roman" w:hAnsi="ArialBold" w:cs="ArialBold"/>
          <w:bCs/>
          <w:color w:val="000000"/>
          <w:sz w:val="23"/>
          <w:szCs w:val="23"/>
          <w:lang w:eastAsia="hr-H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715116" w:rsidRPr="00715116" w:rsidTr="0035620D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5116" w:rsidRPr="00715116" w:rsidRDefault="00715116" w:rsidP="00715116">
            <w:pPr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ArialBold" w:eastAsia="Times New Roman" w:hAnsi="ArialBold" w:cs="ArialBold"/>
                <w:bCs/>
                <w:color w:val="000000"/>
                <w:sz w:val="23"/>
                <w:szCs w:val="23"/>
                <w:lang w:eastAsia="hr-HR"/>
              </w:rPr>
            </w:pPr>
            <w:r w:rsidRPr="00715116">
              <w:rPr>
                <w:rFonts w:ascii="ArialBold" w:eastAsia="Times New Roman" w:hAnsi="ArialBold" w:cs="ArialBold"/>
                <w:bCs/>
                <w:color w:val="000000"/>
                <w:sz w:val="23"/>
                <w:szCs w:val="23"/>
                <w:lang w:eastAsia="hr-HR"/>
              </w:rPr>
              <w:t>Nastavni predmeti značajni za izbor</w:t>
            </w:r>
            <w:r w:rsidRPr="00715116">
              <w:rPr>
                <w:rFonts w:ascii="Calibri,Bold" w:eastAsia="Times New Roman" w:hAnsi="Calibri,Bold" w:cs="Calibri,Bold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15116">
              <w:rPr>
                <w:rFonts w:ascii="ArialBold" w:eastAsia="Times New Roman" w:hAnsi="ArialBold" w:cs="ArialBold"/>
                <w:bCs/>
                <w:color w:val="000000"/>
                <w:sz w:val="23"/>
                <w:szCs w:val="23"/>
                <w:lang w:eastAsia="hr-HR"/>
              </w:rPr>
              <w:t>obrazovnog programa</w:t>
            </w:r>
          </w:p>
        </w:tc>
      </w:tr>
      <w:tr w:rsidR="00715116" w:rsidRPr="00715116" w:rsidTr="0035620D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Ekonomist (060724) 4 g.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0"/>
              <w:ind w:left="82"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hrvatski jezik, matematika, 1.strani jezik, povijest, geografija</w:t>
            </w:r>
          </w:p>
          <w:p w:rsidR="00715116" w:rsidRPr="00715116" w:rsidRDefault="00715116" w:rsidP="00715116">
            <w:pPr>
              <w:spacing w:after="0"/>
              <w:ind w:left="82" w:hanging="10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 xml:space="preserve">PREDMET PREMA IZBORU ŠKOLE: </w:t>
            </w:r>
            <w:r w:rsidRPr="0071511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tehnička kultura</w:t>
            </w:r>
          </w:p>
          <w:p w:rsidR="00715116" w:rsidRPr="00715116" w:rsidRDefault="00715116" w:rsidP="00715116">
            <w:pPr>
              <w:spacing w:after="0"/>
              <w:ind w:left="82" w:hanging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15116" w:rsidRPr="00715116" w:rsidTr="0035620D">
        <w:trPr>
          <w:trHeight w:val="4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Komercijalist (060304) 4 g.</w:t>
            </w:r>
          </w:p>
        </w:tc>
        <w:tc>
          <w:tcPr>
            <w:tcW w:w="6237" w:type="dxa"/>
            <w:vMerge/>
            <w:tcBorders>
              <w:left w:val="nil"/>
              <w:right w:val="single" w:sz="4" w:space="0" w:color="auto"/>
            </w:tcBorders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15116" w:rsidRPr="00715116" w:rsidTr="0035620D">
        <w:trPr>
          <w:trHeight w:val="39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Upravni referent (060404) 4 g.</w:t>
            </w: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15116" w:rsidRPr="00715116" w:rsidRDefault="00715116" w:rsidP="00715116">
      <w:pPr>
        <w:autoSpaceDE w:val="0"/>
        <w:autoSpaceDN w:val="0"/>
        <w:adjustRightInd w:val="0"/>
        <w:spacing w:after="0" w:line="240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Natjecanja po izboru škola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715116" w:rsidRPr="00715116" w:rsidTr="0035620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Natjecanje</w:t>
            </w:r>
          </w:p>
        </w:tc>
      </w:tr>
      <w:tr w:rsidR="00715116" w:rsidRPr="00715116" w:rsidTr="0035620D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Ekonomist (060724) 4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Natjecanje iz područja informatike - računalstva</w:t>
            </w:r>
          </w:p>
        </w:tc>
      </w:tr>
      <w:tr w:rsidR="00715116" w:rsidRPr="00715116" w:rsidTr="0035620D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Komercijalist (060304) 4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Natjecanje iz područja informatike - računalstva </w:t>
            </w:r>
          </w:p>
        </w:tc>
      </w:tr>
      <w:tr w:rsidR="00715116" w:rsidRPr="00715116" w:rsidTr="0035620D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Upravni referent (060404) 4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Natjecanje iz područja informatike - računalstva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2A73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Prodavač (</w:t>
            </w:r>
            <w:r w:rsidR="002A733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440933</w:t>
            </w: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 3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Natjecanje </w:t>
            </w:r>
            <w:r w:rsidRPr="0071511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mladih tehničara</w:t>
            </w: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Zdravstveni zahtjevi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534"/>
        <w:gridCol w:w="2856"/>
        <w:gridCol w:w="2998"/>
        <w:gridCol w:w="1821"/>
      </w:tblGrid>
      <w:tr w:rsidR="00715116" w:rsidRPr="00715116" w:rsidTr="0035620D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116" w:rsidRPr="00715116" w:rsidRDefault="00715116" w:rsidP="00715116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Arial" w:eastAsia="Arial" w:hAnsi="Arial" w:cs="Arial"/>
                <w:b/>
                <w:color w:val="464646"/>
                <w:sz w:val="16"/>
                <w:lang w:eastAsia="hr-HR"/>
              </w:rPr>
              <w:t>ZDRAVSTVENI ZAHTJEVI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Obrazloženje zdravstvenih zahtjeva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Potreban dokument</w:t>
            </w:r>
          </w:p>
        </w:tc>
      </w:tr>
      <w:tr w:rsidR="00715116" w:rsidRPr="00715116" w:rsidTr="0035620D">
        <w:trPr>
          <w:trHeight w:val="51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Ekonomist (060724) 4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uredna funkcija gornjih ekstremiteta, uredno kognitivno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-87" w:firstLine="87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potvrda nadležnoga školskog liječnika</w:t>
            </w:r>
          </w:p>
        </w:tc>
      </w:tr>
      <w:tr w:rsidR="00715116" w:rsidRPr="00715116" w:rsidTr="0035620D">
        <w:trPr>
          <w:trHeight w:val="4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Komercijalist (060304) 4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uredan vid, uredan sluh, uredna funkcija mišićno-koštanog sustava, uredno kognitivno i emocionalno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Sposobnost funkcionalnog glasovno-jezično-govornog izražavanja u svrhu uspostavljanja komunikacije.</w:t>
            </w: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potvrda nadležnoga školskog liječnika</w:t>
            </w:r>
          </w:p>
        </w:tc>
      </w:tr>
      <w:tr w:rsidR="00715116" w:rsidRPr="00715116" w:rsidTr="0035620D">
        <w:trPr>
          <w:trHeight w:val="39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4B52A4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Prodavač (</w:t>
            </w:r>
            <w:r w:rsidR="004B52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440933</w:t>
            </w:r>
            <w:r w:rsidR="004B52A4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 xml:space="preserve">) </w:t>
            </w: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3 g..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uredan vid, raspoznavanje osnovnih boja, uredan sluh, sposobnost funkcionalnog glasovno-jezično-govornog izražavanja u svrhu uspostavljanja komunikacije, uredna funkcija mišićno-koštanog sustava, uredna funkcija srčano-žilnog sustava, uredno kognitivno i emocionalno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potvrda nadležnoga školskog liječnika</w:t>
            </w:r>
          </w:p>
        </w:tc>
      </w:tr>
      <w:tr w:rsidR="00715116" w:rsidRPr="00715116" w:rsidTr="0035620D">
        <w:trPr>
          <w:trHeight w:val="39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Upravni referent (060404) 4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Times New Roman"/>
                <w:color w:val="000000"/>
                <w:sz w:val="18"/>
                <w:lang w:eastAsia="hr-HR"/>
              </w:rPr>
              <w:t>uredan vid, dostatna funkcija gornjih ekstremiteta, uredno kognitivno i emocionalno funkcioniranje</w:t>
            </w: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Times New Roman"/>
                <w:color w:val="000000"/>
                <w:sz w:val="18"/>
                <w:lang w:eastAsia="hr-HR"/>
              </w:rPr>
              <w:t>Potreban uredan sluh. Sposobnost funkcionalnog glasovno-jezično-govornog izražavanja u svrhu uspostavljanja komunikacije. Kada je kandidatu s teškoćama dostupna odgovarajuća prilagodba, navedeni zdravstveni zahtjevi za navedeni program ne uzimaju</w:t>
            </w: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Times New Roman"/>
                <w:color w:val="000000"/>
                <w:sz w:val="18"/>
                <w:lang w:eastAsia="hr-HR"/>
              </w:rPr>
              <w:t>potvrda nadležnoga školskog liječnika</w:t>
            </w: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 xml:space="preserve">Izborni predmeti 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7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20"/>
      </w:tblGrid>
      <w:tr w:rsidR="00715116" w:rsidRPr="00715116" w:rsidTr="0035620D">
        <w:trPr>
          <w:trHeight w:val="300"/>
        </w:trPr>
        <w:tc>
          <w:tcPr>
            <w:tcW w:w="3114" w:type="dxa"/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4820" w:type="dxa"/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Predmet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Ekonomist (060724) 4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Globalno poslovno okruženje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Obiteljski posao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Komercijalist (060304) 4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715116" w:rsidRPr="00715116" w:rsidRDefault="00715116" w:rsidP="004B52A4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Prodavač (</w:t>
            </w:r>
            <w:r w:rsidR="004B52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440933</w:t>
            </w:r>
            <w:r w:rsidR="004B52A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3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Ekologija i održivi razvoj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Kreativnost u poslovanju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Upravni referent (060404) 4 g.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Latinski jezik</w:t>
            </w:r>
          </w:p>
        </w:tc>
      </w:tr>
      <w:tr w:rsidR="00715116" w:rsidRPr="00715116" w:rsidTr="0035620D">
        <w:trPr>
          <w:trHeight w:val="300"/>
        </w:trPr>
        <w:tc>
          <w:tcPr>
            <w:tcW w:w="3114" w:type="dxa"/>
            <w:vMerge/>
            <w:shd w:val="clear" w:color="auto" w:fill="auto"/>
            <w:vAlign w:val="bottom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Pragovi po izboru škole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8672" w:type="dxa"/>
        <w:tblLook w:val="04A0" w:firstRow="1" w:lastRow="0" w:firstColumn="1" w:lastColumn="0" w:noHBand="0" w:noVBand="1"/>
      </w:tblPr>
      <w:tblGrid>
        <w:gridCol w:w="2972"/>
        <w:gridCol w:w="3119"/>
        <w:gridCol w:w="1721"/>
        <w:gridCol w:w="860"/>
      </w:tblGrid>
      <w:tr w:rsidR="00715116" w:rsidRPr="00715116" w:rsidTr="0035620D">
        <w:trPr>
          <w:trHeight w:val="7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vrjednovanje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Poseban slučaj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Donja granica za upis</w:t>
            </w:r>
          </w:p>
        </w:tc>
      </w:tr>
      <w:tr w:rsidR="00715116" w:rsidRPr="00715116" w:rsidTr="0035620D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Ekonomist (060724) 4 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Bodovni prag stečen temeljem ocjena iz škole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---</w:t>
            </w:r>
          </w:p>
        </w:tc>
      </w:tr>
      <w:tr w:rsidR="00715116" w:rsidRPr="00715116" w:rsidTr="0035620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Komercijalist (060304) 4 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Bodovni prag stečen temeljem ocjena iz škole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---</w:t>
            </w:r>
          </w:p>
        </w:tc>
      </w:tr>
      <w:tr w:rsidR="00715116" w:rsidRPr="00715116" w:rsidTr="0035620D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referent (060404) 4 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Bodovni prag stečen temeljem ocjena iz škole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---</w:t>
            </w: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16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Popis stranih jezika koji se izvode u školi kao obvezni nastavni predmet</w:t>
      </w:r>
    </w:p>
    <w:p w:rsidR="00715116" w:rsidRPr="00715116" w:rsidRDefault="00715116" w:rsidP="007151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Cs w:val="16"/>
        </w:rPr>
      </w:pPr>
      <w:r w:rsidRPr="00715116">
        <w:rPr>
          <w:rFonts w:cstheme="minorHAnsi"/>
          <w:bCs/>
          <w:szCs w:val="16"/>
        </w:rPr>
        <w:t>Engleski jezik</w:t>
      </w:r>
    </w:p>
    <w:p w:rsidR="00715116" w:rsidRPr="00715116" w:rsidRDefault="00715116" w:rsidP="007151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Cs w:val="16"/>
        </w:rPr>
      </w:pPr>
      <w:r w:rsidRPr="00715116">
        <w:rPr>
          <w:rFonts w:cstheme="minorHAnsi"/>
          <w:bCs/>
          <w:szCs w:val="16"/>
        </w:rPr>
        <w:t>Njemački jezik</w:t>
      </w:r>
    </w:p>
    <w:p w:rsidR="00715116" w:rsidRPr="00715116" w:rsidRDefault="00715116" w:rsidP="00715116">
      <w:pPr>
        <w:spacing w:before="202" w:after="72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6"/>
          <w:szCs w:val="26"/>
          <w:lang w:eastAsia="hr-HR"/>
        </w:rPr>
      </w:pPr>
    </w:p>
    <w:p w:rsidR="00715116" w:rsidRPr="00715116" w:rsidRDefault="00715116" w:rsidP="00715116">
      <w:pPr>
        <w:spacing w:before="202" w:after="72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26"/>
          <w:szCs w:val="26"/>
          <w:lang w:eastAsia="hr-HR"/>
        </w:rPr>
      </w:pPr>
      <w:r w:rsidRPr="00715116">
        <w:rPr>
          <w:rFonts w:ascii="&amp;quot" w:eastAsia="Times New Roman" w:hAnsi="&amp;quot" w:cs="Times New Roman"/>
          <w:b/>
          <w:sz w:val="26"/>
          <w:szCs w:val="26"/>
          <w:lang w:eastAsia="hr-HR"/>
        </w:rPr>
        <w:t>NAKNADE ZA POVEĆANE TROŠKOVE OBRAZOVANJA</w:t>
      </w:r>
    </w:p>
    <w:p w:rsidR="00715116" w:rsidRPr="00715116" w:rsidRDefault="00715116" w:rsidP="00715116">
      <w:pPr>
        <w:spacing w:before="34" w:after="48" w:line="240" w:lineRule="auto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XIX.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(1) Za pojedine programe obrazovanja mogu se utvrditi povećani troškovi obrazovanja.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NISpuSŠ</w:t>
      </w:r>
      <w:proofErr w:type="spellEnd"/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-u.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715116" w:rsidRPr="00715116" w:rsidRDefault="00715116" w:rsidP="0071511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16"/>
        </w:rPr>
      </w:pPr>
    </w:p>
    <w:tbl>
      <w:tblPr>
        <w:tblW w:w="5956" w:type="dxa"/>
        <w:tblLook w:val="04A0" w:firstRow="1" w:lastRow="0" w:firstColumn="1" w:lastColumn="0" w:noHBand="0" w:noVBand="1"/>
      </w:tblPr>
      <w:tblGrid>
        <w:gridCol w:w="3256"/>
        <w:gridCol w:w="2700"/>
      </w:tblGrid>
      <w:tr w:rsidR="00715116" w:rsidRPr="00715116" w:rsidTr="0035620D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školovanja za kandidate izvan EU</w:t>
            </w:r>
          </w:p>
        </w:tc>
      </w:tr>
      <w:tr w:rsidR="00715116" w:rsidRPr="00715116" w:rsidTr="003562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Ekonomist (060724)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3.500,00 kn </w:t>
            </w:r>
          </w:p>
        </w:tc>
      </w:tr>
      <w:tr w:rsidR="00715116" w:rsidRPr="00715116" w:rsidTr="003562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Komercijalist (060304)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3.500,00 kn </w:t>
            </w:r>
          </w:p>
        </w:tc>
      </w:tr>
      <w:tr w:rsidR="00715116" w:rsidRPr="00715116" w:rsidTr="003562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Upravni referent (060404)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3.500,00 kn</w:t>
            </w:r>
          </w:p>
        </w:tc>
      </w:tr>
      <w:tr w:rsidR="00715116" w:rsidRPr="00715116" w:rsidTr="0035620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4B52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Prodavač (</w:t>
            </w:r>
            <w:r w:rsidR="004B52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440933</w:t>
            </w: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) </w:t>
            </w:r>
            <w:bookmarkStart w:id="0" w:name="_GoBack"/>
            <w:bookmarkEnd w:id="0"/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116" w:rsidRPr="00715116" w:rsidRDefault="00715116" w:rsidP="00715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151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2.500,00 kn </w:t>
            </w:r>
          </w:p>
        </w:tc>
      </w:tr>
    </w:tbl>
    <w:p w:rsidR="00715116" w:rsidRPr="00715116" w:rsidRDefault="00715116" w:rsidP="0071511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32"/>
          <w:lang w:eastAsia="hr-HR"/>
        </w:rPr>
      </w:pPr>
    </w:p>
    <w:p w:rsidR="00715116" w:rsidRPr="00715116" w:rsidRDefault="00715116" w:rsidP="00715116">
      <w:pPr>
        <w:spacing w:before="202" w:after="72" w:line="240" w:lineRule="auto"/>
        <w:ind w:left="82" w:hanging="10"/>
        <w:jc w:val="center"/>
        <w:textAlignment w:val="baseline"/>
        <w:rPr>
          <w:rFonts w:ascii="&amp;quot" w:eastAsia="Times New Roman" w:hAnsi="&amp;quot" w:cs="Times New Roman"/>
          <w:b/>
          <w:sz w:val="26"/>
          <w:szCs w:val="26"/>
          <w:lang w:eastAsia="hr-HR"/>
        </w:rPr>
      </w:pPr>
      <w:r w:rsidRPr="00715116">
        <w:rPr>
          <w:rFonts w:ascii="&amp;quot" w:eastAsia="Times New Roman" w:hAnsi="&amp;quot" w:cs="Times New Roman"/>
          <w:b/>
          <w:sz w:val="26"/>
          <w:szCs w:val="26"/>
          <w:lang w:eastAsia="hr-HR"/>
        </w:rPr>
        <w:t>UPISNI ROKOVI</w:t>
      </w:r>
    </w:p>
    <w:p w:rsidR="00715116" w:rsidRPr="00715116" w:rsidRDefault="00715116" w:rsidP="00715116">
      <w:pPr>
        <w:spacing w:before="101" w:after="48" w:line="240" w:lineRule="auto"/>
        <w:ind w:left="82" w:hanging="10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IX.</w:t>
      </w:r>
    </w:p>
    <w:p w:rsidR="00715116" w:rsidRPr="00715116" w:rsidRDefault="00715116" w:rsidP="00715116">
      <w:pPr>
        <w:spacing w:after="48" w:line="240" w:lineRule="auto"/>
        <w:ind w:left="82" w:firstLine="408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715116" w:rsidRPr="00715116" w:rsidRDefault="00715116" w:rsidP="00715116">
      <w:pPr>
        <w:spacing w:before="202" w:after="72" w:line="240" w:lineRule="auto"/>
        <w:ind w:left="82" w:hanging="10"/>
        <w:jc w:val="center"/>
        <w:textAlignment w:val="baseline"/>
        <w:rPr>
          <w:rFonts w:ascii="&amp;quot" w:eastAsia="Times New Roman" w:hAnsi="&amp;quot" w:cs="Times New Roman"/>
          <w:b/>
          <w:i/>
          <w:iCs/>
          <w:sz w:val="26"/>
          <w:szCs w:val="26"/>
          <w:lang w:eastAsia="hr-HR"/>
        </w:rPr>
      </w:pPr>
      <w:r w:rsidRPr="00715116">
        <w:rPr>
          <w:rFonts w:ascii="&amp;quot" w:eastAsia="Times New Roman" w:hAnsi="&amp;quot" w:cs="Times New Roman"/>
          <w:b/>
          <w:i/>
          <w:iCs/>
          <w:sz w:val="26"/>
          <w:szCs w:val="26"/>
          <w:lang w:eastAsia="hr-HR"/>
        </w:rPr>
        <w:t>Ljetni upisni rok</w:t>
      </w:r>
    </w:p>
    <w:p w:rsidR="00715116" w:rsidRPr="00715116" w:rsidRDefault="00715116" w:rsidP="00715116">
      <w:pPr>
        <w:spacing w:before="34" w:after="48" w:line="240" w:lineRule="auto"/>
        <w:ind w:left="82" w:hanging="10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X.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3329"/>
        <w:gridCol w:w="110"/>
      </w:tblGrid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center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center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Početak prijava obrazovnih programa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8. 7. 2020.</w:t>
            </w: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lastRenderedPageBreak/>
              <w:t>Provođenje dodatnih ispita i provjera te unos rezultata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 xml:space="preserve">13. 7. 2020. </w:t>
            </w:r>
          </w:p>
          <w:p w:rsidR="00715116" w:rsidRPr="00715116" w:rsidRDefault="00715116" w:rsidP="00715116">
            <w:pPr>
              <w:spacing w:after="5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Provjera predznanja engleskog jezika - 1.sj </w:t>
            </w:r>
            <w:r w:rsidRPr="0071511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u 10:00 sati</w:t>
            </w:r>
          </w:p>
          <w:p w:rsidR="00715116" w:rsidRPr="00715116" w:rsidRDefault="00715116" w:rsidP="00715116">
            <w:pPr>
              <w:spacing w:after="5" w:line="271" w:lineRule="auto"/>
              <w:ind w:left="72"/>
              <w:rPr>
                <w:rFonts w:ascii="&amp;quot" w:eastAsia="Times New Roman" w:hAnsi="&amp;quot" w:cs="Times New Roman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Provjera predznanja njemačkog jezika - 1.sj  </w:t>
            </w:r>
            <w:r w:rsidRPr="0071511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u 10:00 sati</w:t>
            </w:r>
          </w:p>
        </w:tc>
      </w:tr>
      <w:tr w:rsidR="00715116" w:rsidRPr="00715116" w:rsidTr="0035620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5" w:type="pct"/>
          <w:tblCellSpacing w:w="15" w:type="dxa"/>
        </w:trPr>
        <w:tc>
          <w:tcPr>
            <w:tcW w:w="0" w:type="auto"/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715116" w:rsidRPr="00715116" w:rsidRDefault="00715116" w:rsidP="00715116">
            <w:pPr>
              <w:spacing w:after="5" w:line="271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5116" w:rsidRPr="00715116" w:rsidRDefault="00715116" w:rsidP="00715116">
            <w:pPr>
              <w:spacing w:after="0" w:line="336" w:lineRule="atLeast"/>
              <w:ind w:left="82" w:hanging="10"/>
              <w:jc w:val="both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 xml:space="preserve">Provođenje dodatnih provjera </w:t>
            </w:r>
            <w:r w:rsidRPr="00715116">
              <w:rPr>
                <w:rFonts w:ascii="&amp;quot" w:eastAsia="Times New Roman" w:hAnsi="&amp;quot" w:cs="Times New Roman"/>
                <w:b/>
                <w:sz w:val="20"/>
                <w:szCs w:val="20"/>
                <w:lang w:eastAsia="hr-HR"/>
              </w:rPr>
              <w:t>za kandidate s teškoćama u razvoju</w:t>
            </w: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 xml:space="preserve"> i unos rezultata u sustav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2. 7. 2020.</w:t>
            </w:r>
            <w:r w:rsidRPr="007151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715116" w:rsidRPr="00715116" w:rsidRDefault="00715116" w:rsidP="00715116">
            <w:pPr>
              <w:spacing w:after="5" w:line="271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Provjera predznanja engleskog jezika - 1.sj </w:t>
            </w:r>
            <w:r w:rsidRPr="0071511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u 10:00 sati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color w:val="000000"/>
                <w:sz w:val="20"/>
                <w:lang w:eastAsia="hr-HR"/>
              </w:rPr>
              <w:t xml:space="preserve">Provjera predznanja njemačkog jezika - 1.sj  </w:t>
            </w:r>
            <w:r w:rsidRPr="0071511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r-HR"/>
              </w:rPr>
              <w:t>u 10:00 sati</w:t>
            </w: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Objava konačnih ljestvica poretka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25. 7. 2020.</w:t>
            </w: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336" w:lineRule="atLeast"/>
              <w:ind w:left="82" w:hanging="10"/>
              <w:jc w:val="both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715116" w:rsidRPr="00715116" w:rsidRDefault="00715116" w:rsidP="00715116">
            <w:pPr>
              <w:spacing w:after="0" w:line="336" w:lineRule="atLeast"/>
              <w:ind w:left="82" w:hanging="10"/>
              <w:jc w:val="both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715116" w:rsidRPr="00715116" w:rsidRDefault="00715116" w:rsidP="00715116">
            <w:pPr>
              <w:spacing w:after="0" w:line="336" w:lineRule="atLeast"/>
              <w:ind w:left="82" w:hanging="10"/>
              <w:jc w:val="both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27. 7. 2020. od 8:00 do 12:00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28. 7. 2020. od 8:00 do 12:00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29. 7. 2020. od 8:00 do 12:00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30. 7. 2020. od 8:00 do 12:00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31. 7. 2020. od 8:00 do 14:00</w:t>
            </w: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Objava okvirnog broja slobodnih mjesta za jesenski upisni rok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1. 8. 2020.</w:t>
            </w:r>
          </w:p>
        </w:tc>
      </w:tr>
      <w:tr w:rsidR="00715116" w:rsidRPr="00715116" w:rsidTr="0035620D"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Službena objava slobodnih mjesta za jesenski upisni rok</w:t>
            </w:r>
          </w:p>
        </w:tc>
        <w:tc>
          <w:tcPr>
            <w:tcW w:w="17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12. 8. 2020.</w:t>
            </w: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Pr="00715116" w:rsidRDefault="00715116" w:rsidP="00715116">
      <w:pPr>
        <w:spacing w:before="202" w:after="72" w:line="240" w:lineRule="auto"/>
        <w:ind w:left="82" w:hanging="10"/>
        <w:jc w:val="center"/>
        <w:textAlignment w:val="baseline"/>
        <w:rPr>
          <w:rFonts w:ascii="&amp;quot" w:eastAsia="Times New Roman" w:hAnsi="&amp;quot" w:cs="Times New Roman"/>
          <w:b/>
          <w:i/>
          <w:iCs/>
          <w:sz w:val="26"/>
          <w:szCs w:val="26"/>
          <w:lang w:eastAsia="hr-HR"/>
        </w:rPr>
      </w:pPr>
      <w:r w:rsidRPr="00715116">
        <w:rPr>
          <w:rFonts w:ascii="&amp;quot" w:eastAsia="Times New Roman" w:hAnsi="&amp;quot" w:cs="Times New Roman"/>
          <w:b/>
          <w:i/>
          <w:iCs/>
          <w:sz w:val="26"/>
          <w:szCs w:val="26"/>
          <w:lang w:eastAsia="hr-HR"/>
        </w:rPr>
        <w:t>Jesenski upisni rok</w:t>
      </w:r>
    </w:p>
    <w:p w:rsidR="00715116" w:rsidRPr="00715116" w:rsidRDefault="00715116" w:rsidP="00715116">
      <w:pPr>
        <w:spacing w:before="34" w:after="48" w:line="240" w:lineRule="auto"/>
        <w:ind w:left="82" w:hanging="10"/>
        <w:jc w:val="center"/>
        <w:textAlignment w:val="baseline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715116">
        <w:rPr>
          <w:rFonts w:ascii="&amp;quot" w:eastAsia="Times New Roman" w:hAnsi="&amp;quot" w:cs="Times New Roman"/>
          <w:sz w:val="24"/>
          <w:szCs w:val="24"/>
          <w:lang w:eastAsia="hr-HR"/>
        </w:rPr>
        <w:t>XI.</w:t>
      </w:r>
    </w:p>
    <w:tbl>
      <w:tblPr>
        <w:tblW w:w="53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3494"/>
      </w:tblGrid>
      <w:tr w:rsidR="00715116" w:rsidRPr="00715116" w:rsidTr="0035620D">
        <w:tc>
          <w:tcPr>
            <w:tcW w:w="3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center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center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15116" w:rsidRPr="00715116" w:rsidTr="00356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Početak prijava u sustav i prijava obrazovnih programa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21. 8. 2020.</w:t>
            </w:r>
          </w:p>
        </w:tc>
      </w:tr>
      <w:tr w:rsidR="00715116" w:rsidRPr="00715116" w:rsidTr="00356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 xml:space="preserve">Provođenje dodatnih provjera </w:t>
            </w:r>
            <w:r w:rsidRPr="00715116">
              <w:rPr>
                <w:rFonts w:ascii="&amp;quot" w:eastAsia="Times New Roman" w:hAnsi="&amp;quot" w:cs="Times New Roman"/>
                <w:b/>
                <w:sz w:val="18"/>
                <w:szCs w:val="18"/>
                <w:lang w:eastAsia="hr-HR"/>
              </w:rPr>
              <w:t>za kandidate s teškoćama u razvoju</w:t>
            </w: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 xml:space="preserve"> i unos rezultata u sustav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5116" w:rsidRPr="00715116" w:rsidRDefault="00715116" w:rsidP="00715116">
            <w:pPr>
              <w:spacing w:after="5" w:line="271" w:lineRule="auto"/>
              <w:ind w:left="72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Provjera predznanja engleskog jezika - 1.sj; Provjera predznanja njemačkog jezika - 1.sj  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 xml:space="preserve">20. 8. 2020. u </w:t>
            </w:r>
            <w:r w:rsidRPr="00715116">
              <w:rPr>
                <w:rFonts w:ascii="Times New Roman" w:eastAsia="Times New Roman" w:hAnsi="Times New Roman" w:cs="Times New Roman"/>
                <w:b/>
                <w:lang w:eastAsia="hr-HR"/>
              </w:rPr>
              <w:t>10:00 sati</w:t>
            </w:r>
          </w:p>
        </w:tc>
      </w:tr>
      <w:tr w:rsidR="00715116" w:rsidRPr="00715116" w:rsidTr="00356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Provođenje dodatnih ispita i provjera te unos rezultata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5" w:line="271" w:lineRule="auto"/>
              <w:ind w:left="72"/>
              <w:rPr>
                <w:rFonts w:ascii="Times New Roman" w:eastAsia="Times New Roman" w:hAnsi="Times New Roman" w:cs="Times New Roman"/>
                <w:sz w:val="20"/>
                <w:lang w:eastAsia="hr-HR"/>
              </w:rPr>
            </w:pPr>
            <w:r w:rsidRPr="00715116">
              <w:rPr>
                <w:rFonts w:ascii="Times New Roman" w:eastAsia="Times New Roman" w:hAnsi="Times New Roman" w:cs="Times New Roman"/>
                <w:sz w:val="20"/>
                <w:lang w:eastAsia="hr-HR"/>
              </w:rPr>
              <w:t xml:space="preserve">Provjera predznanja engleskog jezika - 1.sj; Provjera predznanja njemačkog jezika - 1.sj  </w:t>
            </w:r>
          </w:p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 xml:space="preserve">25. 8. 2020. u </w:t>
            </w:r>
            <w:r w:rsidRPr="00715116">
              <w:rPr>
                <w:rFonts w:ascii="Times New Roman" w:eastAsia="Times New Roman" w:hAnsi="Times New Roman" w:cs="Times New Roman"/>
                <w:b/>
                <w:lang w:eastAsia="hr-HR"/>
              </w:rPr>
              <w:t>10:00 sati</w:t>
            </w:r>
          </w:p>
        </w:tc>
      </w:tr>
      <w:tr w:rsidR="00715116" w:rsidRPr="00715116" w:rsidTr="00356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t>Objava konačnih ljestvica poretka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1. 9. 2020.</w:t>
            </w:r>
          </w:p>
        </w:tc>
      </w:tr>
      <w:tr w:rsidR="00715116" w:rsidRPr="00715116" w:rsidTr="00356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336" w:lineRule="atLeast"/>
              <w:ind w:left="82" w:hanging="10"/>
              <w:jc w:val="both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 xml:space="preserve">Dostava dokumenata koji su uvjet za upis u određeni program obrazovanja (potvrda liječnika školske medicine, potvrda obiteljskog liječnika ili liječnička </w:t>
            </w: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lastRenderedPageBreak/>
              <w:t xml:space="preserve">svjedodžba medicine rada i ostali dokumenti kojima su ostvarena dodatna prava za upis) srednje škole. </w:t>
            </w:r>
          </w:p>
          <w:p w:rsidR="00715116" w:rsidRPr="00715116" w:rsidRDefault="00715116" w:rsidP="00715116">
            <w:pPr>
              <w:spacing w:after="0" w:line="336" w:lineRule="atLeast"/>
              <w:ind w:left="82" w:hanging="10"/>
              <w:jc w:val="both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lastRenderedPageBreak/>
              <w:t>2. 9. 2020. od 8:00 do 14:00</w:t>
            </w:r>
          </w:p>
        </w:tc>
      </w:tr>
      <w:tr w:rsidR="00715116" w:rsidRPr="00715116" w:rsidTr="0035620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jc w:val="both"/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sz w:val="18"/>
                <w:szCs w:val="18"/>
                <w:lang w:eastAsia="hr-HR"/>
              </w:rPr>
              <w:lastRenderedPageBreak/>
              <w:t>Objava slobodnih upisnih mjesta nakon jesenskog upisnog roka</w:t>
            </w:r>
          </w:p>
        </w:tc>
        <w:tc>
          <w:tcPr>
            <w:tcW w:w="1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15116" w:rsidRPr="00715116" w:rsidRDefault="00715116" w:rsidP="00715116">
            <w:pPr>
              <w:spacing w:after="0" w:line="240" w:lineRule="auto"/>
              <w:ind w:left="82" w:hanging="10"/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</w:pPr>
            <w:r w:rsidRPr="00715116">
              <w:rPr>
                <w:rFonts w:ascii="&amp;quot" w:eastAsia="Times New Roman" w:hAnsi="&amp;quot" w:cs="Times New Roman"/>
                <w:b/>
                <w:sz w:val="20"/>
                <w:szCs w:val="18"/>
                <w:lang w:eastAsia="hr-HR"/>
              </w:rPr>
              <w:t>3. 9. 2020.</w:t>
            </w:r>
          </w:p>
        </w:tc>
      </w:tr>
    </w:tbl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Pr="00715116" w:rsidRDefault="00715116" w:rsidP="00715116">
      <w:pPr>
        <w:spacing w:before="202" w:after="72" w:line="240" w:lineRule="auto"/>
        <w:jc w:val="center"/>
        <w:textAlignment w:val="baseline"/>
        <w:rPr>
          <w:rFonts w:ascii="&amp;quot" w:eastAsia="Times New Roman" w:hAnsi="&amp;quot" w:cs="Times New Roman"/>
          <w:sz w:val="26"/>
          <w:szCs w:val="26"/>
          <w:lang w:eastAsia="hr-HR"/>
        </w:rPr>
      </w:pPr>
    </w:p>
    <w:p w:rsidR="00715116" w:rsidRPr="00715116" w:rsidRDefault="00715116" w:rsidP="00715116">
      <w:pPr>
        <w:spacing w:before="202" w:after="72" w:line="240" w:lineRule="auto"/>
        <w:jc w:val="center"/>
        <w:textAlignment w:val="baseline"/>
        <w:rPr>
          <w:rFonts w:eastAsia="Times New Roman" w:cstheme="minorHAnsi"/>
          <w:b/>
          <w:sz w:val="26"/>
          <w:szCs w:val="26"/>
          <w:lang w:eastAsia="hr-HR"/>
        </w:rPr>
      </w:pPr>
      <w:r w:rsidRPr="00715116">
        <w:rPr>
          <w:rFonts w:eastAsia="Times New Roman" w:cstheme="minorHAnsi"/>
          <w:b/>
          <w:sz w:val="26"/>
          <w:szCs w:val="26"/>
          <w:lang w:eastAsia="hr-HR"/>
        </w:rPr>
        <w:t>NAKNADNI UPISNI ROK ZA UPIS UČENIKA NAKON ISTEKA JESENSKOGA UPISNOG ROKA</w:t>
      </w:r>
    </w:p>
    <w:p w:rsidR="00715116" w:rsidRPr="00715116" w:rsidRDefault="00715116" w:rsidP="00715116">
      <w:pPr>
        <w:spacing w:before="34" w:after="48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>XX.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715116">
        <w:rPr>
          <w:rFonts w:eastAsia="Times New Roman" w:cstheme="minorHAnsi"/>
          <w:sz w:val="24"/>
          <w:szCs w:val="24"/>
          <w:lang w:eastAsia="hr-HR"/>
        </w:rPr>
        <w:t>NISpuSŠ</w:t>
      </w:r>
      <w:proofErr w:type="spellEnd"/>
      <w:r w:rsidRPr="00715116">
        <w:rPr>
          <w:rFonts w:eastAsia="Times New Roman" w:cstheme="minorHAnsi"/>
          <w:sz w:val="24"/>
          <w:szCs w:val="24"/>
          <w:lang w:eastAsia="hr-HR"/>
        </w:rPr>
        <w:t>-u.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>(2) Učenici iz stavka 1. ovog članka, za prijavu moraju ispunjavati sve uvjete propisane Pravilnikom o elementima i kriterijima te natječajem škole.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(3) Učenici se za upis u naknadnome upisnom roku školi mogu prijaviti od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>4. do 21. rujna</w:t>
      </w:r>
      <w:r w:rsidRPr="0071511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>2020. godine</w:t>
      </w:r>
      <w:r w:rsidRPr="00715116">
        <w:rPr>
          <w:rFonts w:eastAsia="Times New Roman" w:cstheme="minorHAnsi"/>
          <w:sz w:val="24"/>
          <w:szCs w:val="24"/>
          <w:lang w:eastAsia="hr-HR"/>
        </w:rPr>
        <w:t>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715116">
        <w:rPr>
          <w:rFonts w:eastAsia="Times New Roman" w:cstheme="minorHAnsi"/>
          <w:sz w:val="24"/>
          <w:szCs w:val="24"/>
          <w:lang w:eastAsia="hr-HR"/>
        </w:rPr>
        <w:t>NISpuSŠ</w:t>
      </w:r>
      <w:proofErr w:type="spellEnd"/>
      <w:r w:rsidRPr="00715116">
        <w:rPr>
          <w:rFonts w:eastAsia="Times New Roman" w:cstheme="minorHAnsi"/>
          <w:sz w:val="24"/>
          <w:szCs w:val="24"/>
          <w:lang w:eastAsia="hr-HR"/>
        </w:rPr>
        <w:t>, po zaprimljenoj potpisanoj upisnici učenika te ostaloj dokumentaciji potrebnoj za upis.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>(5) Nakon završetka naknadnoga upisnog roka Ministarstvo utvrđuje konačan broj ustrojenih razrednih odjela i broj upisanih učenika.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before="202" w:after="72" w:line="240" w:lineRule="auto"/>
        <w:jc w:val="center"/>
        <w:textAlignment w:val="baseline"/>
        <w:rPr>
          <w:rFonts w:eastAsia="Times New Roman" w:cstheme="minorHAnsi"/>
          <w:b/>
          <w:sz w:val="26"/>
          <w:szCs w:val="26"/>
          <w:lang w:eastAsia="hr-HR"/>
        </w:rPr>
      </w:pPr>
      <w:r w:rsidRPr="00715116">
        <w:rPr>
          <w:rFonts w:eastAsia="Times New Roman" w:cstheme="minorHAnsi"/>
          <w:b/>
          <w:sz w:val="26"/>
          <w:szCs w:val="26"/>
          <w:lang w:eastAsia="hr-HR"/>
        </w:rPr>
        <w:t>Upis učenika u I. razred srednje škole</w:t>
      </w:r>
    </w:p>
    <w:p w:rsidR="00715116" w:rsidRPr="00715116" w:rsidRDefault="00715116" w:rsidP="00715116">
      <w:pPr>
        <w:spacing w:before="202" w:after="72" w:line="240" w:lineRule="auto"/>
        <w:jc w:val="center"/>
        <w:textAlignment w:val="baseline"/>
        <w:rPr>
          <w:rFonts w:eastAsia="Times New Roman" w:cstheme="minorHAnsi"/>
          <w:b/>
          <w:sz w:val="26"/>
          <w:szCs w:val="26"/>
          <w:lang w:eastAsia="hr-HR"/>
        </w:rPr>
      </w:pPr>
      <w:r w:rsidRPr="00715116">
        <w:rPr>
          <w:rFonts w:eastAsia="Times New Roman" w:cstheme="minorHAnsi"/>
          <w:b/>
          <w:sz w:val="26"/>
          <w:szCs w:val="26"/>
          <w:lang w:eastAsia="hr-HR"/>
        </w:rPr>
        <w:t>XVII.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715116">
        <w:rPr>
          <w:rFonts w:eastAsia="Times New Roman" w:cstheme="minorHAnsi"/>
          <w:sz w:val="24"/>
          <w:szCs w:val="24"/>
          <w:lang w:eastAsia="hr-HR"/>
        </w:rPr>
        <w:t>NISpuSŠ</w:t>
      </w:r>
      <w:proofErr w:type="spellEnd"/>
      <w:r w:rsidRPr="00715116">
        <w:rPr>
          <w:rFonts w:eastAsia="Times New Roman" w:cstheme="minorHAnsi"/>
          <w:sz w:val="24"/>
          <w:szCs w:val="24"/>
          <w:lang w:eastAsia="hr-HR"/>
        </w:rPr>
        <w:t>-u, učenik ostvaruje pravo upisa u I. razred srednje škole u školskoj godini 2020./2021.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</w:t>
      </w:r>
      <w:proofErr w:type="spellStart"/>
      <w:r w:rsidRPr="00715116">
        <w:rPr>
          <w:rFonts w:eastAsia="Times New Roman" w:cstheme="minorHAnsi"/>
          <w:sz w:val="24"/>
          <w:szCs w:val="24"/>
          <w:lang w:eastAsia="hr-HR"/>
        </w:rPr>
        <w:t>NISpuSŠ</w:t>
      </w:r>
      <w:proofErr w:type="spellEnd"/>
      <w:r w:rsidRPr="00715116">
        <w:rPr>
          <w:rFonts w:eastAsia="Times New Roman" w:cstheme="minorHAnsi"/>
          <w:sz w:val="24"/>
          <w:szCs w:val="24"/>
          <w:lang w:eastAsia="hr-HR"/>
        </w:rPr>
        <w:t xml:space="preserve">-u potvrđuje srednja škola u kojoj učenik ostvaruje pravo upisa sukladno konačnoj ljestvici poretka.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>Navedeni dokumenti mogu se donijeti osobno ili dostaviti elektroničkim putem</w:t>
      </w:r>
      <w:r w:rsidRPr="00715116">
        <w:rPr>
          <w:rFonts w:eastAsia="Times New Roman" w:cstheme="minorHAnsi"/>
          <w:sz w:val="24"/>
          <w:szCs w:val="24"/>
          <w:lang w:eastAsia="hr-HR"/>
        </w:rPr>
        <w:t>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715116">
        <w:rPr>
          <w:rFonts w:eastAsia="Times New Roman" w:cstheme="minorHAnsi"/>
          <w:sz w:val="24"/>
          <w:szCs w:val="24"/>
          <w:lang w:eastAsia="hr-HR"/>
        </w:rPr>
        <w:t>NISpuSŠ</w:t>
      </w:r>
      <w:proofErr w:type="spellEnd"/>
      <w:r w:rsidRPr="00715116">
        <w:rPr>
          <w:rFonts w:eastAsia="Times New Roman" w:cstheme="minorHAnsi"/>
          <w:sz w:val="24"/>
          <w:szCs w:val="24"/>
          <w:lang w:eastAsia="hr-HR"/>
        </w:rPr>
        <w:t xml:space="preserve">-a (www.upisi.hr), koji je dužan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 xml:space="preserve">donijeti osobno ili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lastRenderedPageBreak/>
        <w:t>dostaviti elektroničkim putem</w:t>
      </w:r>
      <w:r w:rsidRPr="00715116">
        <w:rPr>
          <w:rFonts w:eastAsia="Times New Roman" w:cstheme="minorHAnsi"/>
          <w:sz w:val="24"/>
          <w:szCs w:val="24"/>
          <w:lang w:eastAsia="hr-HR"/>
        </w:rPr>
        <w:t xml:space="preserve"> u srednju školu u rokovima utvrđenim u točkama X., XI. i XII. ove Odluke.</w:t>
      </w:r>
    </w:p>
    <w:p w:rsidR="00715116" w:rsidRPr="00715116" w:rsidRDefault="00715116" w:rsidP="00715116">
      <w:pPr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715116">
        <w:rPr>
          <w:rFonts w:eastAsia="Times New Roman" w:cstheme="minorHAnsi"/>
          <w:sz w:val="24"/>
          <w:szCs w:val="24"/>
          <w:lang w:eastAsia="hr-HR"/>
        </w:rPr>
        <w:t xml:space="preserve"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>donijeti osobno</w:t>
      </w:r>
      <w:r w:rsidRPr="00715116">
        <w:rPr>
          <w:rFonts w:eastAsia="Times New Roman" w:cstheme="minorHAnsi"/>
          <w:sz w:val="24"/>
          <w:szCs w:val="24"/>
          <w:lang w:eastAsia="hr-HR"/>
        </w:rPr>
        <w:t xml:space="preserve"> ili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>dostaviti</w:t>
      </w:r>
      <w:r w:rsidRPr="0071511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715116">
        <w:rPr>
          <w:rFonts w:eastAsia="Times New Roman" w:cstheme="minorHAnsi"/>
          <w:b/>
          <w:sz w:val="24"/>
          <w:szCs w:val="24"/>
          <w:lang w:eastAsia="hr-HR"/>
        </w:rPr>
        <w:t>elektroničkim putem</w:t>
      </w:r>
      <w:r w:rsidRPr="00715116">
        <w:rPr>
          <w:rFonts w:eastAsia="Times New Roman" w:cstheme="minorHAnsi"/>
          <w:sz w:val="24"/>
          <w:szCs w:val="24"/>
          <w:lang w:eastAsia="hr-HR"/>
        </w:rPr>
        <w:t xml:space="preserve"> njegov roditelj/skrbnik ili opunomoćenik.</w:t>
      </w: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 xml:space="preserve">NAPOMENA: </w:t>
      </w:r>
      <w:r w:rsidRPr="00715116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Upisnicu elektroničkim putem može poslati samo roditelj/skrbnik, a u e-poruci dužan je dostaviti i svoj osobni kontakt (broj telefona, broj mobitela) kako bi ga škola mogla kontaktirati</w:t>
      </w:r>
      <w:r w:rsidRPr="00715116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Pr="00715116">
        <w:rPr>
          <w:rFonts w:ascii="Times New Roman" w:eastAsia="Times New Roman" w:hAnsi="Times New Roman" w:cs="Times New Roman"/>
          <w:color w:val="000000"/>
          <w:lang w:eastAsia="hr-HR"/>
        </w:rPr>
        <w:t xml:space="preserve">na e-mail adresu -  </w:t>
      </w:r>
      <w:hyperlink r:id="rId9" w:history="1">
        <w:r w:rsidRPr="00715116">
          <w:rPr>
            <w:rFonts w:ascii="Times New Roman" w:eastAsia="Times New Roman" w:hAnsi="Times New Roman" w:cs="Times New Roman"/>
            <w:b/>
            <w:color w:val="000000" w:themeColor="text1"/>
            <w:sz w:val="24"/>
            <w:u w:val="single"/>
            <w:lang w:eastAsia="hr-HR"/>
          </w:rPr>
          <w:t>ured@ss-ekonomska-bracaradic-dj.skole.hr</w:t>
        </w:r>
      </w:hyperlink>
      <w:r w:rsidRPr="00715116">
        <w:rPr>
          <w:rFonts w:ascii="Times New Roman" w:eastAsia="Times New Roman" w:hAnsi="Times New Roman" w:cs="Times New Roman"/>
          <w:color w:val="000000" w:themeColor="text1"/>
          <w:sz w:val="24"/>
          <w:lang w:eastAsia="hr-HR"/>
        </w:rPr>
        <w:t xml:space="preserve"> </w:t>
      </w: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Potvrda upisa:</w:t>
      </w:r>
    </w:p>
    <w:p w:rsidR="00715116" w:rsidRPr="00715116" w:rsidRDefault="00715116" w:rsidP="00715116">
      <w:pPr>
        <w:numPr>
          <w:ilvl w:val="0"/>
          <w:numId w:val="8"/>
        </w:num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Upisnica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popunjena  i potpisana od strane učenika i roditelja/staratelja. Upisnica se ispisuje s učeničkog profila iz baze </w:t>
      </w:r>
      <w:proofErr w:type="spellStart"/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NISpuSŠ</w:t>
      </w:r>
      <w:proofErr w:type="spellEnd"/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-a.</w:t>
      </w:r>
    </w:p>
    <w:p w:rsidR="00715116" w:rsidRPr="00715116" w:rsidRDefault="00715116" w:rsidP="00715116">
      <w:pPr>
        <w:numPr>
          <w:ilvl w:val="0"/>
          <w:numId w:val="8"/>
        </w:num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Liječnička potvrda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sposobnosti za zanimanje izdana od </w:t>
      </w:r>
      <w:r w:rsidRPr="007151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školskog liječnika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Pr="0071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 obiteljskog liječnika i ne medicine rada</w:t>
      </w: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715116" w:rsidRPr="00715116" w:rsidRDefault="00715116" w:rsidP="00715116">
      <w:pPr>
        <w:numPr>
          <w:ilvl w:val="0"/>
          <w:numId w:val="8"/>
        </w:numPr>
        <w:spacing w:before="100" w:beforeAutospacing="1" w:after="100" w:afterAutospacing="1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5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Originalni dokumenti kojima se dokazuju dodatni ostvareni bodovi.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Pr="00715116" w:rsidRDefault="00715116" w:rsidP="00715116">
      <w:pPr>
        <w:spacing w:after="0" w:line="271" w:lineRule="auto"/>
        <w:ind w:left="82" w:hanging="10"/>
        <w:jc w:val="both"/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</w:pPr>
      <w:r w:rsidRPr="00715116">
        <w:rPr>
          <w:rFonts w:ascii="ArialBold" w:eastAsia="Times New Roman" w:hAnsi="ArialBold" w:cs="ArialBold"/>
          <w:b/>
          <w:bCs/>
          <w:color w:val="000000"/>
          <w:sz w:val="23"/>
          <w:szCs w:val="23"/>
          <w:lang w:eastAsia="hr-HR"/>
        </w:rPr>
        <w:t>Ostali uvjeti upisa definirani su:</w:t>
      </w:r>
    </w:p>
    <w:p w:rsidR="00715116" w:rsidRPr="00715116" w:rsidRDefault="00715116" w:rsidP="00715116">
      <w:pPr>
        <w:spacing w:after="0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715116">
        <w:t>Pravilnikom o elementima i kriterijima za izbor kandidata za upis u I. razred srednje škole</w:t>
      </w:r>
    </w:p>
    <w:p w:rsidR="00715116" w:rsidRPr="00715116" w:rsidRDefault="00715116" w:rsidP="00715116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715116">
        <w:t>Pravilnikom o izmjenama i dopunama pravilnika o elementima i kriterijima za izbor kandidata za upis u I. Razred srednje škole</w:t>
      </w:r>
    </w:p>
    <w:p w:rsidR="00715116" w:rsidRPr="00715116" w:rsidRDefault="00715116" w:rsidP="00715116">
      <w:pPr>
        <w:numPr>
          <w:ilvl w:val="0"/>
          <w:numId w:val="7"/>
        </w:numPr>
        <w:spacing w:after="160" w:line="259" w:lineRule="auto"/>
        <w:contextualSpacing/>
        <w:jc w:val="both"/>
      </w:pPr>
      <w:r w:rsidRPr="00715116">
        <w:t>Odlukom o upisu učenika u I. razred srednje škole u školskoj godini 2020./2021. (NN 62/2020 27. 5. 2020.)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684E" w:rsidRDefault="0065684E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KLASA:602-03/20-01-</w:t>
      </w:r>
      <w:r w:rsidR="005878A9">
        <w:rPr>
          <w:rFonts w:ascii="Times New Roman" w:eastAsia="Times New Roman" w:hAnsi="Times New Roman" w:cs="Times New Roman"/>
          <w:lang w:eastAsia="hr-HR"/>
        </w:rPr>
        <w:t>269.</w:t>
      </w:r>
    </w:p>
    <w:p w:rsidR="0065684E" w:rsidRDefault="0065684E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URBROJ:2121/27-20-01-</w:t>
      </w:r>
      <w:r w:rsidR="0046257A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65684E" w:rsidRDefault="0065684E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684E" w:rsidRPr="00715116" w:rsidRDefault="0065684E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lang w:eastAsia="hr-HR"/>
        </w:rPr>
      </w:pPr>
      <w:r w:rsidRPr="00715116">
        <w:rPr>
          <w:rFonts w:ascii="Times New Roman" w:eastAsia="Times New Roman" w:hAnsi="Times New Roman" w:cs="Times New Roman"/>
          <w:lang w:eastAsia="hr-HR"/>
        </w:rPr>
        <w:t xml:space="preserve">Đakovo, </w:t>
      </w:r>
      <w:r w:rsidR="0046257A">
        <w:rPr>
          <w:rFonts w:ascii="Times New Roman" w:eastAsia="Times New Roman" w:hAnsi="Times New Roman" w:cs="Times New Roman"/>
          <w:lang w:eastAsia="hr-HR"/>
        </w:rPr>
        <w:t>30</w:t>
      </w:r>
      <w:r w:rsidRPr="00715116">
        <w:rPr>
          <w:rFonts w:ascii="Times New Roman" w:eastAsia="Times New Roman" w:hAnsi="Times New Roman" w:cs="Times New Roman"/>
          <w:lang w:eastAsia="hr-HR"/>
        </w:rPr>
        <w:t>. lipanj</w:t>
      </w:r>
      <w:r w:rsidR="0046257A">
        <w:rPr>
          <w:rFonts w:ascii="Times New Roman" w:eastAsia="Times New Roman" w:hAnsi="Times New Roman" w:cs="Times New Roman"/>
          <w:lang w:eastAsia="hr-HR"/>
        </w:rPr>
        <w:t>a</w:t>
      </w:r>
      <w:r w:rsidRPr="00715116">
        <w:rPr>
          <w:rFonts w:ascii="Times New Roman" w:eastAsia="Times New Roman" w:hAnsi="Times New Roman" w:cs="Times New Roman"/>
          <w:lang w:eastAsia="hr-HR"/>
        </w:rPr>
        <w:t xml:space="preserve"> 2020.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firstLine="6379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15116">
        <w:rPr>
          <w:rFonts w:ascii="Times New Roman" w:eastAsia="Times New Roman" w:hAnsi="Times New Roman" w:cs="Times New Roman"/>
          <w:color w:val="000000"/>
          <w:lang w:eastAsia="hr-HR"/>
        </w:rPr>
        <w:t>Ravnatelj</w:t>
      </w:r>
    </w:p>
    <w:p w:rsidR="00715116" w:rsidRPr="00715116" w:rsidRDefault="00715116" w:rsidP="00715116">
      <w:pPr>
        <w:spacing w:after="5" w:line="271" w:lineRule="auto"/>
        <w:ind w:left="82" w:firstLine="6379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firstLine="6379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15116">
        <w:rPr>
          <w:rFonts w:ascii="Times New Roman" w:eastAsia="Times New Roman" w:hAnsi="Times New Roman" w:cs="Times New Roman"/>
          <w:color w:val="000000"/>
          <w:lang w:eastAsia="hr-HR"/>
        </w:rPr>
        <w:t>_______________________</w:t>
      </w:r>
    </w:p>
    <w:p w:rsidR="00715116" w:rsidRPr="00715116" w:rsidRDefault="00715116" w:rsidP="00715116">
      <w:pPr>
        <w:spacing w:after="5" w:line="271" w:lineRule="auto"/>
        <w:ind w:left="82" w:firstLine="6379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715116">
        <w:rPr>
          <w:rFonts w:ascii="Times New Roman" w:eastAsia="Times New Roman" w:hAnsi="Times New Roman" w:cs="Times New Roman"/>
          <w:color w:val="000000"/>
          <w:lang w:eastAsia="hr-HR"/>
        </w:rPr>
        <w:t>Željko Bionda, dipl. ing.</w:t>
      </w: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15116" w:rsidRPr="00715116" w:rsidRDefault="00715116" w:rsidP="00715116">
      <w:pPr>
        <w:spacing w:after="5" w:line="271" w:lineRule="auto"/>
        <w:ind w:left="82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E3C65" w:rsidRDefault="003E3C65"/>
    <w:sectPr w:rsidR="003E3C65" w:rsidSect="00FA121D"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04" w:rsidRDefault="00FA2104">
      <w:pPr>
        <w:spacing w:after="0" w:line="240" w:lineRule="auto"/>
      </w:pPr>
      <w:r>
        <w:separator/>
      </w:r>
    </w:p>
  </w:endnote>
  <w:endnote w:type="continuationSeparator" w:id="0">
    <w:p w:rsidR="00FA2104" w:rsidRDefault="00FA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009"/>
      <w:docPartObj>
        <w:docPartGallery w:val="Page Numbers (Bottom of Page)"/>
        <w:docPartUnique/>
      </w:docPartObj>
    </w:sdtPr>
    <w:sdtEndPr/>
    <w:sdtContent>
      <w:p w:rsidR="00F14963" w:rsidRDefault="00A26E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2A4">
          <w:rPr>
            <w:noProof/>
          </w:rPr>
          <w:t>6</w:t>
        </w:r>
        <w:r>
          <w:fldChar w:fldCharType="end"/>
        </w:r>
      </w:p>
    </w:sdtContent>
  </w:sdt>
  <w:p w:rsidR="00F14963" w:rsidRDefault="00FA21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04" w:rsidRDefault="00FA2104">
      <w:pPr>
        <w:spacing w:after="0" w:line="240" w:lineRule="auto"/>
      </w:pPr>
      <w:r>
        <w:separator/>
      </w:r>
    </w:p>
  </w:footnote>
  <w:footnote w:type="continuationSeparator" w:id="0">
    <w:p w:rsidR="00FA2104" w:rsidRDefault="00FA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CD91C1A"/>
    <w:multiLevelType w:val="hybridMultilevel"/>
    <w:tmpl w:val="9B08F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54FE"/>
    <w:multiLevelType w:val="hybridMultilevel"/>
    <w:tmpl w:val="11C4D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D4B"/>
    <w:multiLevelType w:val="hybridMultilevel"/>
    <w:tmpl w:val="2FB49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21A33"/>
    <w:multiLevelType w:val="hybridMultilevel"/>
    <w:tmpl w:val="A6BAB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12C9A"/>
    <w:multiLevelType w:val="hybridMultilevel"/>
    <w:tmpl w:val="BC048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064394"/>
    <w:multiLevelType w:val="hybridMultilevel"/>
    <w:tmpl w:val="A81A6E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425C8"/>
    <w:multiLevelType w:val="multilevel"/>
    <w:tmpl w:val="6BC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E"/>
    <w:rsid w:val="000773F5"/>
    <w:rsid w:val="00090AFE"/>
    <w:rsid w:val="000B31CF"/>
    <w:rsid w:val="000F507A"/>
    <w:rsid w:val="001B41C7"/>
    <w:rsid w:val="00206288"/>
    <w:rsid w:val="002138BB"/>
    <w:rsid w:val="0025432F"/>
    <w:rsid w:val="002A7336"/>
    <w:rsid w:val="00381883"/>
    <w:rsid w:val="00392E83"/>
    <w:rsid w:val="003B796E"/>
    <w:rsid w:val="003E3C65"/>
    <w:rsid w:val="0042460F"/>
    <w:rsid w:val="00454F6A"/>
    <w:rsid w:val="0046257A"/>
    <w:rsid w:val="004970CD"/>
    <w:rsid w:val="004B52A4"/>
    <w:rsid w:val="00541D84"/>
    <w:rsid w:val="0055157D"/>
    <w:rsid w:val="005878A9"/>
    <w:rsid w:val="005F328B"/>
    <w:rsid w:val="00603527"/>
    <w:rsid w:val="0065684E"/>
    <w:rsid w:val="00715116"/>
    <w:rsid w:val="007C000A"/>
    <w:rsid w:val="007D549F"/>
    <w:rsid w:val="008A2DAE"/>
    <w:rsid w:val="008C15C0"/>
    <w:rsid w:val="008F6145"/>
    <w:rsid w:val="00A10665"/>
    <w:rsid w:val="00A26E95"/>
    <w:rsid w:val="00AA7CBF"/>
    <w:rsid w:val="00B2454C"/>
    <w:rsid w:val="00B91F20"/>
    <w:rsid w:val="00C15F17"/>
    <w:rsid w:val="00CB6547"/>
    <w:rsid w:val="00CE1236"/>
    <w:rsid w:val="00CF7343"/>
    <w:rsid w:val="00D231D6"/>
    <w:rsid w:val="00D30487"/>
    <w:rsid w:val="00D455BC"/>
    <w:rsid w:val="00D53A22"/>
    <w:rsid w:val="00D55966"/>
    <w:rsid w:val="00DD5410"/>
    <w:rsid w:val="00DF7B1B"/>
    <w:rsid w:val="00E0325E"/>
    <w:rsid w:val="00E20EA9"/>
    <w:rsid w:val="00E31BA2"/>
    <w:rsid w:val="00E84991"/>
    <w:rsid w:val="00F22D0E"/>
    <w:rsid w:val="00F64DDF"/>
    <w:rsid w:val="00F747B8"/>
    <w:rsid w:val="00F848A8"/>
    <w:rsid w:val="00FA121D"/>
    <w:rsid w:val="00FA2104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AF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09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AFE"/>
  </w:style>
  <w:style w:type="paragraph" w:styleId="Tekstbalonia">
    <w:name w:val="Balloon Text"/>
    <w:basedOn w:val="Normal"/>
    <w:link w:val="TekstbaloniaChar"/>
    <w:uiPriority w:val="99"/>
    <w:semiHidden/>
    <w:unhideWhenUsed/>
    <w:rsid w:val="00F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0AF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09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0AFE"/>
  </w:style>
  <w:style w:type="paragraph" w:styleId="Tekstbalonia">
    <w:name w:val="Balloon Text"/>
    <w:basedOn w:val="Normal"/>
    <w:link w:val="TekstbaloniaChar"/>
    <w:uiPriority w:val="99"/>
    <w:semiHidden/>
    <w:unhideWhenUsed/>
    <w:rsid w:val="00F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ss-ekonomska-bracaradic-d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1EA3-E4EA-4500-92D2-12C32462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cp:lastPrinted>2020-06-18T08:25:00Z</cp:lastPrinted>
  <dcterms:created xsi:type="dcterms:W3CDTF">2020-07-03T08:48:00Z</dcterms:created>
  <dcterms:modified xsi:type="dcterms:W3CDTF">2020-07-06T06:18:00Z</dcterms:modified>
</cp:coreProperties>
</file>